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6930" w:type="dxa"/>
        <w:shd w:val="clear" w:color="auto" w:fill="FFFFFF"/>
        <w:tblCellMar>
          <w:left w:w="0" w:type="dxa"/>
          <w:right w:w="0" w:type="dxa"/>
        </w:tblCellMar>
        <w:tblLook w:val="04A0"/>
      </w:tblPr>
      <w:tblGrid>
        <w:gridCol w:w="6687"/>
        <w:gridCol w:w="81"/>
        <w:gridCol w:w="81"/>
        <w:gridCol w:w="81"/>
      </w:tblGrid>
      <w:tr w:rsidR="005F5311" w:rsidRPr="005F5311" w:rsidTr="005F5311">
        <w:trPr>
          <w:trHeight w:val="270"/>
        </w:trPr>
        <w:tc>
          <w:tcPr>
            <w:tcW w:w="5000" w:type="pct"/>
            <w:shd w:val="clear" w:color="auto" w:fill="FFFFFF"/>
            <w:noWrap/>
            <w:tcMar>
              <w:top w:w="0" w:type="dxa"/>
              <w:left w:w="0" w:type="dxa"/>
              <w:bottom w:w="0" w:type="dxa"/>
              <w:right w:w="75" w:type="dxa"/>
            </w:tcMar>
            <w:vAlign w:val="center"/>
            <w:hideMark/>
          </w:tcPr>
          <w:p w:rsidR="005F5311" w:rsidRDefault="005F5311" w:rsidP="005F5311">
            <w:pPr>
              <w:spacing w:after="0" w:line="240" w:lineRule="auto"/>
              <w:jc w:val="both"/>
              <w:rPr>
                <w:rFonts w:asciiTheme="majorHAnsi" w:eastAsia="Times New Roman" w:hAnsiTheme="majorHAnsi" w:cs="Times New Roman"/>
                <w:b/>
                <w:bCs/>
                <w:color w:val="006699"/>
                <w:sz w:val="24"/>
                <w:szCs w:val="24"/>
                <w:lang w:eastAsia="it-IT"/>
              </w:rPr>
            </w:pPr>
            <w:r w:rsidRPr="005F5311">
              <w:rPr>
                <w:rFonts w:asciiTheme="majorHAnsi" w:eastAsia="Times New Roman" w:hAnsiTheme="majorHAnsi" w:cs="Times New Roman"/>
                <w:b/>
                <w:bCs/>
                <w:color w:val="006699"/>
                <w:sz w:val="24"/>
                <w:szCs w:val="24"/>
                <w:lang w:eastAsia="it-IT"/>
              </w:rPr>
              <w:t>Contributi per l’acquisto dei libri di testo</w:t>
            </w:r>
          </w:p>
          <w:p w:rsidR="005F5311" w:rsidRPr="005F5311" w:rsidRDefault="005F5311" w:rsidP="005F5311">
            <w:pPr>
              <w:spacing w:after="0" w:line="240" w:lineRule="auto"/>
              <w:jc w:val="both"/>
              <w:rPr>
                <w:rFonts w:asciiTheme="majorHAnsi" w:eastAsia="Times New Roman" w:hAnsiTheme="majorHAnsi" w:cs="Times New Roman"/>
                <w:b/>
                <w:bCs/>
                <w:color w:val="006699"/>
                <w:sz w:val="24"/>
                <w:szCs w:val="24"/>
                <w:lang w:eastAsia="it-IT"/>
              </w:rPr>
            </w:pPr>
          </w:p>
        </w:tc>
        <w:tc>
          <w:tcPr>
            <w:tcW w:w="5000" w:type="pct"/>
            <w:shd w:val="clear" w:color="auto" w:fill="FFFFFF"/>
            <w:tcMar>
              <w:top w:w="0" w:type="dxa"/>
              <w:left w:w="0" w:type="dxa"/>
              <w:bottom w:w="0" w:type="dxa"/>
              <w:right w:w="75" w:type="dxa"/>
            </w:tcMar>
            <w:vAlign w:val="center"/>
            <w:hideMark/>
          </w:tcPr>
          <w:p w:rsidR="005F5311" w:rsidRPr="005F5311" w:rsidRDefault="005F5311" w:rsidP="005F5311">
            <w:pPr>
              <w:spacing w:after="0" w:line="240" w:lineRule="auto"/>
              <w:jc w:val="both"/>
              <w:rPr>
                <w:rFonts w:asciiTheme="majorHAnsi" w:eastAsia="Times New Roman" w:hAnsiTheme="majorHAnsi" w:cs="Times New Roman"/>
                <w:color w:val="333333"/>
                <w:sz w:val="24"/>
                <w:szCs w:val="24"/>
                <w:lang w:eastAsia="it-IT"/>
              </w:rPr>
            </w:pPr>
          </w:p>
        </w:tc>
        <w:tc>
          <w:tcPr>
            <w:tcW w:w="5000" w:type="pct"/>
            <w:shd w:val="clear" w:color="auto" w:fill="FFFFFF"/>
            <w:tcMar>
              <w:top w:w="0" w:type="dxa"/>
              <w:left w:w="0" w:type="dxa"/>
              <w:bottom w:w="0" w:type="dxa"/>
              <w:right w:w="75" w:type="dxa"/>
            </w:tcMar>
            <w:vAlign w:val="center"/>
            <w:hideMark/>
          </w:tcPr>
          <w:p w:rsidR="005F5311" w:rsidRPr="005F5311" w:rsidRDefault="005F5311" w:rsidP="005F5311">
            <w:pPr>
              <w:spacing w:after="0" w:line="240" w:lineRule="auto"/>
              <w:jc w:val="both"/>
              <w:rPr>
                <w:rFonts w:asciiTheme="majorHAnsi" w:eastAsia="Times New Roman" w:hAnsiTheme="majorHAnsi" w:cs="Times New Roman"/>
                <w:color w:val="333333"/>
                <w:sz w:val="24"/>
                <w:szCs w:val="24"/>
                <w:lang w:eastAsia="it-IT"/>
              </w:rPr>
            </w:pPr>
          </w:p>
        </w:tc>
        <w:tc>
          <w:tcPr>
            <w:tcW w:w="5000" w:type="pct"/>
            <w:shd w:val="clear" w:color="auto" w:fill="FFFFFF"/>
            <w:tcMar>
              <w:top w:w="0" w:type="dxa"/>
              <w:left w:w="0" w:type="dxa"/>
              <w:bottom w:w="0" w:type="dxa"/>
              <w:right w:w="75" w:type="dxa"/>
            </w:tcMar>
            <w:vAlign w:val="center"/>
            <w:hideMark/>
          </w:tcPr>
          <w:p w:rsidR="005F5311" w:rsidRPr="005F5311" w:rsidRDefault="005F5311" w:rsidP="005F5311">
            <w:pPr>
              <w:spacing w:after="0" w:line="240" w:lineRule="auto"/>
              <w:jc w:val="both"/>
              <w:rPr>
                <w:rFonts w:asciiTheme="majorHAnsi" w:eastAsia="Times New Roman" w:hAnsiTheme="majorHAnsi" w:cs="Times New Roman"/>
                <w:color w:val="333333"/>
                <w:sz w:val="24"/>
                <w:szCs w:val="24"/>
                <w:lang w:eastAsia="it-IT"/>
              </w:rPr>
            </w:pPr>
          </w:p>
        </w:tc>
      </w:tr>
    </w:tbl>
    <w:p w:rsidR="005F5311" w:rsidRPr="005F5311" w:rsidRDefault="005F5311" w:rsidP="005F5311">
      <w:pPr>
        <w:spacing w:after="0" w:line="240" w:lineRule="auto"/>
        <w:jc w:val="both"/>
        <w:rPr>
          <w:rFonts w:asciiTheme="majorHAnsi" w:eastAsia="Times New Roman" w:hAnsiTheme="majorHAnsi" w:cs="Times New Roman"/>
          <w:vanish/>
          <w:sz w:val="24"/>
          <w:szCs w:val="24"/>
          <w:lang w:eastAsia="it-IT"/>
        </w:rPr>
      </w:pPr>
    </w:p>
    <w:tbl>
      <w:tblPr>
        <w:tblW w:w="6930" w:type="dxa"/>
        <w:shd w:val="clear" w:color="auto" w:fill="FFFFFF"/>
        <w:tblCellMar>
          <w:left w:w="0" w:type="dxa"/>
          <w:right w:w="0" w:type="dxa"/>
        </w:tblCellMar>
        <w:tblLook w:val="04A0"/>
      </w:tblPr>
      <w:tblGrid>
        <w:gridCol w:w="6930"/>
      </w:tblGrid>
      <w:tr w:rsidR="005F5311" w:rsidRPr="005F5311" w:rsidTr="005F5311">
        <w:tc>
          <w:tcPr>
            <w:tcW w:w="0" w:type="auto"/>
            <w:shd w:val="clear" w:color="auto" w:fill="FFFFFF"/>
            <w:tcMar>
              <w:top w:w="0" w:type="dxa"/>
              <w:left w:w="0" w:type="dxa"/>
              <w:bottom w:w="0" w:type="dxa"/>
              <w:right w:w="75" w:type="dxa"/>
            </w:tcMar>
            <w:hideMark/>
          </w:tcPr>
          <w:p w:rsidR="005F5311" w:rsidRPr="005F5311" w:rsidRDefault="005F5311" w:rsidP="005F5311">
            <w:pPr>
              <w:spacing w:after="0" w:line="240" w:lineRule="auto"/>
              <w:jc w:val="both"/>
              <w:divId w:val="1398866438"/>
              <w:rPr>
                <w:rFonts w:asciiTheme="majorHAnsi" w:eastAsia="Times New Roman" w:hAnsiTheme="majorHAnsi" w:cs="Times New Roman"/>
                <w:color w:val="333333"/>
                <w:sz w:val="24"/>
                <w:szCs w:val="24"/>
                <w:lang w:eastAsia="it-IT"/>
              </w:rPr>
            </w:pPr>
            <w:r w:rsidRPr="005F5311">
              <w:rPr>
                <w:rFonts w:asciiTheme="majorHAnsi" w:eastAsia="Times New Roman" w:hAnsiTheme="majorHAnsi" w:cs="Times New Roman"/>
                <w:color w:val="333333"/>
                <w:sz w:val="24"/>
                <w:szCs w:val="24"/>
                <w:lang w:eastAsia="it-IT"/>
              </w:rPr>
              <w:t>L’Ufficio Pubblica Istruzione comunica che la Regione Puglia – Servizio Sistema Istruzione e Diritto allo Studio, con nota n. 3734 del 6.6.2017, ha comunicato ai Comuni che «per la concessione dei contributi per l’acquisto dei libri di testo per gli studenti della Scuola Secondaria di 1° e 2° grado, saranno apportate modifiche sulla modalità e tempi di presentazione delle istanze».</w:t>
            </w:r>
          </w:p>
          <w:p w:rsidR="005F5311" w:rsidRPr="005F5311" w:rsidRDefault="005F5311" w:rsidP="005F5311">
            <w:pPr>
              <w:spacing w:before="100" w:beforeAutospacing="1" w:after="100" w:afterAutospacing="1" w:line="240" w:lineRule="auto"/>
              <w:jc w:val="both"/>
              <w:rPr>
                <w:rFonts w:asciiTheme="majorHAnsi" w:eastAsia="Times New Roman" w:hAnsiTheme="majorHAnsi" w:cs="Times New Roman"/>
                <w:color w:val="333333"/>
                <w:sz w:val="24"/>
                <w:szCs w:val="24"/>
                <w:lang w:eastAsia="it-IT"/>
              </w:rPr>
            </w:pPr>
            <w:r w:rsidRPr="005F5311">
              <w:rPr>
                <w:rFonts w:asciiTheme="majorHAnsi" w:eastAsia="Times New Roman" w:hAnsiTheme="majorHAnsi" w:cs="Times New Roman"/>
                <w:color w:val="333333"/>
                <w:sz w:val="24"/>
                <w:szCs w:val="24"/>
                <w:lang w:eastAsia="it-IT"/>
              </w:rPr>
              <w:t>Questo significherà che il termine ultimo per presentare la domanda di contributo, solitamente fissato a fine agosto, quest’anno sarà esteso anche alle prime settimane del nuovo anno scolastico 2017/18.</w:t>
            </w:r>
          </w:p>
          <w:p w:rsidR="005F5311" w:rsidRPr="005F5311" w:rsidRDefault="005F5311" w:rsidP="005F5311">
            <w:pPr>
              <w:spacing w:before="100" w:beforeAutospacing="1" w:after="100" w:afterAutospacing="1" w:line="240" w:lineRule="auto"/>
              <w:jc w:val="both"/>
              <w:rPr>
                <w:rFonts w:asciiTheme="majorHAnsi" w:eastAsia="Times New Roman" w:hAnsiTheme="majorHAnsi" w:cs="Times New Roman"/>
                <w:color w:val="333333"/>
                <w:sz w:val="24"/>
                <w:szCs w:val="24"/>
                <w:lang w:eastAsia="it-IT"/>
              </w:rPr>
            </w:pPr>
            <w:r w:rsidRPr="005F5311">
              <w:rPr>
                <w:rFonts w:asciiTheme="majorHAnsi" w:eastAsia="Times New Roman" w:hAnsiTheme="majorHAnsi" w:cs="Times New Roman"/>
                <w:color w:val="333333"/>
                <w:sz w:val="24"/>
                <w:szCs w:val="24"/>
                <w:lang w:eastAsia="it-IT"/>
              </w:rPr>
              <w:t>L’Ufficio Pubblica Istruzione fornirà ulteriori e più precise indicazioni dopo l’approvazione della Delibera di Giunta Regionale e rimane a disposizione delle famiglie per qualsiasi informazione supplementare.</w:t>
            </w:r>
          </w:p>
        </w:tc>
      </w:tr>
    </w:tbl>
    <w:p w:rsidR="002B7FBB" w:rsidRDefault="002B7FBB"/>
    <w:sectPr w:rsidR="002B7FBB" w:rsidSect="002B7FB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5F5311"/>
    <w:rsid w:val="002B7FBB"/>
    <w:rsid w:val="005F5311"/>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7FB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F531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F531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F53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1257877">
      <w:bodyDiv w:val="1"/>
      <w:marLeft w:val="0"/>
      <w:marRight w:val="0"/>
      <w:marTop w:val="0"/>
      <w:marBottom w:val="0"/>
      <w:divBdr>
        <w:top w:val="none" w:sz="0" w:space="0" w:color="auto"/>
        <w:left w:val="none" w:sz="0" w:space="0" w:color="auto"/>
        <w:bottom w:val="none" w:sz="0" w:space="0" w:color="auto"/>
        <w:right w:val="none" w:sz="0" w:space="0" w:color="auto"/>
      </w:divBdr>
      <w:divsChild>
        <w:div w:id="13988664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127</Words>
  <Characters>724</Characters>
  <Application>Microsoft Office Word</Application>
  <DocSecurity>0</DocSecurity>
  <Lines>6</Lines>
  <Paragraphs>1</Paragraphs>
  <ScaleCrop>false</ScaleCrop>
  <Company>Hewlett-Packard Company</Company>
  <LinksUpToDate>false</LinksUpToDate>
  <CharactersWithSpaces>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l.fanuli</dc:creator>
  <cp:lastModifiedBy>l.fanuli</cp:lastModifiedBy>
  <cp:revision>1</cp:revision>
  <dcterms:created xsi:type="dcterms:W3CDTF">2017-07-12T06:58:00Z</dcterms:created>
  <dcterms:modified xsi:type="dcterms:W3CDTF">2017-07-12T07:00:00Z</dcterms:modified>
</cp:coreProperties>
</file>